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BD2" w:rsidRPr="00F94EBB" w:rsidRDefault="00782BD2" w:rsidP="00782BD2">
      <w:pPr>
        <w:ind w:firstLine="720"/>
        <w:jc w:val="both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 xml:space="preserve">Расчёт надежности </w:t>
      </w:r>
      <w:proofErr w:type="spellStart"/>
      <w:r w:rsidRPr="00F94EBB">
        <w:rPr>
          <w:b/>
          <w:sz w:val="24"/>
          <w:szCs w:val="24"/>
        </w:rPr>
        <w:t>двухцепной</w:t>
      </w:r>
      <w:proofErr w:type="spellEnd"/>
      <w:r w:rsidRPr="00F94EBB">
        <w:rPr>
          <w:b/>
          <w:sz w:val="24"/>
          <w:szCs w:val="24"/>
        </w:rPr>
        <w:t xml:space="preserve"> линии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Для составления схемы надежности в исходной схеме электрической сети объедин</w:t>
      </w:r>
      <w:r w:rsidRPr="00F94EBB">
        <w:rPr>
          <w:color w:val="000000"/>
          <w:sz w:val="24"/>
          <w:szCs w:val="24"/>
        </w:rPr>
        <w:t>я</w:t>
      </w:r>
      <w:r w:rsidRPr="00F94EBB">
        <w:rPr>
          <w:color w:val="000000"/>
          <w:sz w:val="24"/>
          <w:szCs w:val="24"/>
        </w:rPr>
        <w:t>ются все источники питания, а линии замещаются блоками, связанными между собой и с потребителем и источн</w:t>
      </w:r>
      <w:r w:rsidRPr="00F94EBB">
        <w:rPr>
          <w:color w:val="000000"/>
          <w:sz w:val="24"/>
          <w:szCs w:val="24"/>
        </w:rPr>
        <w:t>и</w:t>
      </w:r>
      <w:r w:rsidRPr="00F94EBB">
        <w:rPr>
          <w:color w:val="000000"/>
          <w:sz w:val="24"/>
          <w:szCs w:val="24"/>
        </w:rPr>
        <w:t>ками питания так, как в исследуемой схеме сети. На рис. 8. показана схема сети и операция составления схемы надежности.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object w:dxaOrig="4358" w:dyaOrig="18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5.25pt;height:155.25pt" o:ole="">
            <v:imagedata r:id="rId5" o:title=""/>
          </v:shape>
          <o:OLEObject Type="Embed" ProgID="KOMPAS.FRW" ShapeID="_x0000_i1025" DrawAspect="Content" ObjectID="_1577015153" r:id="rId6"/>
        </w:objec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F94EBB">
        <w:rPr>
          <w:b/>
          <w:color w:val="000000"/>
        </w:rPr>
        <w:t>Рис. 8. а) – Исходная схема сети; б) схема надежности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Для большей наглядности схему надежности можно привести к виду, где шины и</w:t>
      </w:r>
      <w:r w:rsidRPr="00F94EBB">
        <w:rPr>
          <w:color w:val="000000"/>
          <w:sz w:val="24"/>
          <w:szCs w:val="24"/>
        </w:rPr>
        <w:t>с</w:t>
      </w:r>
      <w:r w:rsidRPr="00F94EBB">
        <w:rPr>
          <w:color w:val="000000"/>
          <w:sz w:val="24"/>
          <w:szCs w:val="24"/>
        </w:rPr>
        <w:t xml:space="preserve">точников питания </w:t>
      </w:r>
      <w:r w:rsidRPr="00F94EBB">
        <w:rPr>
          <w:iCs/>
          <w:color w:val="000000"/>
          <w:sz w:val="24"/>
          <w:szCs w:val="24"/>
        </w:rPr>
        <w:t>ИП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>и шины потребителя (П) представлены параллельными прямыми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object w:dxaOrig="2584" w:dyaOrig="1298">
          <v:shape id="_x0000_i1026" type="#_x0000_t75" style="width:270pt;height:135.75pt" o:ole="">
            <v:imagedata r:id="rId7" o:title=""/>
          </v:shape>
          <o:OLEObject Type="Embed" ProgID="KOMPAS.FRW" ShapeID="_x0000_i1026" DrawAspect="Content" ObjectID="_1577015154" r:id="rId8"/>
        </w:objec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F94EBB">
        <w:rPr>
          <w:b/>
          <w:color w:val="000000"/>
        </w:rPr>
        <w:t>Рис. 9. Упрощенная схема надежности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 w:val="24"/>
          <w:szCs w:val="24"/>
        </w:rPr>
      </w:pPr>
      <w:proofErr w:type="spellStart"/>
      <w:r w:rsidRPr="00F94EBB">
        <w:rPr>
          <w:color w:val="000000"/>
          <w:sz w:val="24"/>
          <w:szCs w:val="24"/>
        </w:rPr>
        <w:t>Двухцепные</w:t>
      </w:r>
      <w:proofErr w:type="spellEnd"/>
      <w:r w:rsidRPr="00F94EBB">
        <w:rPr>
          <w:color w:val="000000"/>
          <w:sz w:val="24"/>
          <w:szCs w:val="24"/>
        </w:rPr>
        <w:t xml:space="preserve"> линии в схеме надежности представляются тремя блоками, как показ</w:t>
      </w:r>
      <w:r w:rsidRPr="00F94EBB">
        <w:rPr>
          <w:color w:val="000000"/>
          <w:sz w:val="24"/>
          <w:szCs w:val="24"/>
        </w:rPr>
        <w:t>а</w:t>
      </w:r>
      <w:r w:rsidRPr="00F94EBB">
        <w:rPr>
          <w:color w:val="000000"/>
          <w:sz w:val="24"/>
          <w:szCs w:val="24"/>
        </w:rPr>
        <w:t xml:space="preserve">но на рис. 10. Блоки </w:t>
      </w:r>
      <w:r w:rsidRPr="00F94EBB">
        <w:rPr>
          <w:iCs/>
          <w:color w:val="000000"/>
          <w:sz w:val="24"/>
          <w:szCs w:val="24"/>
        </w:rPr>
        <w:t>1 и 2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 xml:space="preserve">отражают отказы и плановые ремонты каждой из цепей отдельно, а блок </w:t>
      </w:r>
      <w:r w:rsidRPr="00F94EBB">
        <w:rPr>
          <w:iCs/>
          <w:color w:val="000000"/>
          <w:sz w:val="24"/>
          <w:szCs w:val="24"/>
        </w:rPr>
        <w:t>1</w:t>
      </w:r>
      <w:r w:rsidRPr="00F94EBB">
        <w:rPr>
          <w:color w:val="000000"/>
          <w:sz w:val="24"/>
          <w:szCs w:val="24"/>
        </w:rPr>
        <w:t>-</w:t>
      </w:r>
      <w:r w:rsidRPr="00F94EBB">
        <w:rPr>
          <w:iCs/>
          <w:color w:val="000000"/>
          <w:sz w:val="24"/>
          <w:szCs w:val="24"/>
        </w:rPr>
        <w:t>2</w:t>
      </w:r>
      <w:r w:rsidRPr="00F94EBB">
        <w:rPr>
          <w:i/>
          <w:iCs/>
          <w:color w:val="000000"/>
          <w:sz w:val="24"/>
          <w:szCs w:val="24"/>
        </w:rPr>
        <w:t xml:space="preserve"> –</w:t>
      </w:r>
      <w:r w:rsidRPr="00F94EBB">
        <w:rPr>
          <w:color w:val="000000"/>
          <w:sz w:val="24"/>
          <w:szCs w:val="24"/>
        </w:rPr>
        <w:t xml:space="preserve"> одновр</w:t>
      </w:r>
      <w:r w:rsidRPr="00F94EBB">
        <w:rPr>
          <w:color w:val="000000"/>
          <w:sz w:val="24"/>
          <w:szCs w:val="24"/>
        </w:rPr>
        <w:t>е</w:t>
      </w:r>
      <w:r w:rsidRPr="00F94EBB">
        <w:rPr>
          <w:color w:val="000000"/>
          <w:sz w:val="24"/>
          <w:szCs w:val="24"/>
        </w:rPr>
        <w:t>менные отказы обеих цепей.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sz w:val="24"/>
          <w:szCs w:val="24"/>
        </w:rPr>
      </w:pPr>
      <w:r w:rsidRPr="00F94EBB">
        <w:rPr>
          <w:color w:val="000000"/>
          <w:sz w:val="24"/>
          <w:szCs w:val="24"/>
        </w:rPr>
        <w:t>Для схем сети без замкнутых контуров схема надежности содержит лишь послед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вательно и параллельно соединенные блоки (рис. 8 а и б). При наличии в сети замкнутых контуров в схеме н</w:t>
      </w:r>
      <w:r w:rsidRPr="00F94EBB">
        <w:rPr>
          <w:color w:val="000000"/>
          <w:sz w:val="24"/>
          <w:szCs w:val="24"/>
        </w:rPr>
        <w:t>а</w:t>
      </w:r>
      <w:r w:rsidRPr="00F94EBB">
        <w:rPr>
          <w:color w:val="000000"/>
          <w:sz w:val="24"/>
          <w:szCs w:val="24"/>
        </w:rPr>
        <w:t xml:space="preserve">дежности появляются </w:t>
      </w:r>
      <w:proofErr w:type="spellStart"/>
      <w:r w:rsidRPr="00F94EBB">
        <w:rPr>
          <w:color w:val="000000"/>
          <w:sz w:val="24"/>
          <w:szCs w:val="24"/>
        </w:rPr>
        <w:t>пёремычки</w:t>
      </w:r>
      <w:proofErr w:type="spellEnd"/>
      <w:r w:rsidRPr="00F94EBB">
        <w:rPr>
          <w:color w:val="000000"/>
          <w:sz w:val="24"/>
          <w:szCs w:val="24"/>
        </w:rPr>
        <w:t xml:space="preserve"> между параллельными ветвями (рис. 11).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900"/>
        <w:jc w:val="both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Расчет по схеме надежности проводится путем ряда преобразований последовательно или параллельно включенных блоков в экв</w:t>
      </w:r>
      <w:r w:rsidRPr="00F94EBB">
        <w:rPr>
          <w:color w:val="000000"/>
          <w:sz w:val="24"/>
          <w:szCs w:val="24"/>
        </w:rPr>
        <w:t>и</w:t>
      </w:r>
      <w:r w:rsidRPr="00F94EBB">
        <w:rPr>
          <w:color w:val="000000"/>
          <w:sz w:val="24"/>
          <w:szCs w:val="24"/>
        </w:rPr>
        <w:t xml:space="preserve">валентные до тех пор, пока шины источника питания и потребителя не окажутся связанными одним эквивалентным блоком (рис. 9 б и </w:t>
      </w:r>
      <w:r w:rsidRPr="00F94EBB">
        <w:rPr>
          <w:iCs/>
          <w:color w:val="000000"/>
          <w:sz w:val="24"/>
          <w:szCs w:val="24"/>
        </w:rPr>
        <w:t>в</w:t>
      </w:r>
      <w:r w:rsidRPr="00F94EBB">
        <w:rPr>
          <w:i/>
          <w:iCs/>
          <w:color w:val="000000"/>
          <w:sz w:val="24"/>
          <w:szCs w:val="24"/>
        </w:rPr>
        <w:t xml:space="preserve">). </w:t>
      </w:r>
      <w:r w:rsidRPr="00F94EBB">
        <w:rPr>
          <w:color w:val="000000"/>
          <w:sz w:val="24"/>
          <w:szCs w:val="24"/>
        </w:rPr>
        <w:t>Показатели надежности этого блока (рис. 9,г) и являются искомыми показателями надежности электроснабжения п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требителя.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noProof/>
          <w:color w:val="000000"/>
          <w:sz w:val="24"/>
          <w:szCs w:val="24"/>
        </w:rPr>
        <w:pict>
          <v:shape id="_x0000_s1026" type="#_x0000_t75" style="position:absolute;left:0;text-align:left;margin-left:207pt;margin-top:-18pt;width:126pt;height:76.5pt;z-index:251659264">
            <v:imagedata r:id="rId9" o:title=""/>
            <w10:wrap type="square"/>
          </v:shape>
        </w:pic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Default="00782BD2" w:rsidP="00782BD2">
      <w:pPr>
        <w:ind w:firstLine="900"/>
        <w:jc w:val="center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center"/>
        <w:rPr>
          <w:b/>
          <w:color w:val="000000"/>
        </w:rPr>
      </w:pPr>
      <w:r w:rsidRPr="00F94EBB">
        <w:rPr>
          <w:b/>
          <w:color w:val="000000"/>
        </w:rPr>
        <w:lastRenderedPageBreak/>
        <w:t xml:space="preserve">Рис. 10. К расчёту показателей надежности </w:t>
      </w:r>
      <w:proofErr w:type="spellStart"/>
      <w:r w:rsidRPr="00F94EBB">
        <w:rPr>
          <w:b/>
          <w:color w:val="000000"/>
        </w:rPr>
        <w:t>двухце</w:t>
      </w:r>
      <w:r w:rsidRPr="00F94EBB">
        <w:rPr>
          <w:b/>
          <w:color w:val="000000"/>
        </w:rPr>
        <w:t>п</w:t>
      </w:r>
      <w:r w:rsidRPr="00F94EBB">
        <w:rPr>
          <w:b/>
          <w:color w:val="000000"/>
        </w:rPr>
        <w:t>ной</w:t>
      </w:r>
      <w:proofErr w:type="spellEnd"/>
      <w:r w:rsidRPr="00F94EBB">
        <w:rPr>
          <w:b/>
          <w:color w:val="000000"/>
        </w:rPr>
        <w:t xml:space="preserve"> линии</w:t>
      </w:r>
    </w:p>
    <w:p w:rsidR="00782BD2" w:rsidRPr="00F94EBB" w:rsidRDefault="00782BD2" w:rsidP="00782BD2">
      <w:pPr>
        <w:ind w:firstLine="900"/>
        <w:jc w:val="center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object w:dxaOrig="1974" w:dyaOrig="938">
          <v:shape id="_x0000_i1027" type="#_x0000_t75" style="width:317.25pt;height:150.75pt" o:ole="">
            <v:imagedata r:id="rId10" o:title=""/>
          </v:shape>
          <o:OLEObject Type="Embed" ProgID="KOMPAS.FRW" ShapeID="_x0000_i1027" DrawAspect="Content" ObjectID="_1577015155" r:id="rId11"/>
        </w:object>
      </w:r>
    </w:p>
    <w:p w:rsidR="00782BD2" w:rsidRPr="00F94EBB" w:rsidRDefault="00782BD2" w:rsidP="00782BD2">
      <w:pPr>
        <w:jc w:val="center"/>
        <w:rPr>
          <w:b/>
          <w:color w:val="000000"/>
        </w:rPr>
      </w:pPr>
      <w:r w:rsidRPr="00F94EBB">
        <w:rPr>
          <w:b/>
          <w:color w:val="000000"/>
        </w:rPr>
        <w:t xml:space="preserve">Рис. 11. 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 xml:space="preserve">Для </w:t>
      </w:r>
      <w:proofErr w:type="gramStart"/>
      <w:r w:rsidRPr="00F94EBB">
        <w:rPr>
          <w:i/>
          <w:iCs/>
          <w:color w:val="000000"/>
          <w:sz w:val="24"/>
          <w:szCs w:val="24"/>
        </w:rPr>
        <w:t>п</w:t>
      </w:r>
      <w:proofErr w:type="gramEnd"/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>последовательно включенных блоков показатели наде</w:t>
      </w:r>
      <w:r w:rsidRPr="00F94EBB">
        <w:rPr>
          <w:color w:val="000000"/>
          <w:sz w:val="24"/>
          <w:szCs w:val="24"/>
        </w:rPr>
        <w:t>ж</w:t>
      </w:r>
      <w:r w:rsidRPr="00F94EBB">
        <w:rPr>
          <w:color w:val="000000"/>
          <w:sz w:val="24"/>
          <w:szCs w:val="24"/>
        </w:rPr>
        <w:t>ности эквивалентного блока приближенно (без учета возможности их одновременных простоев) определяются по формулам (1-6)</w:t>
      </w:r>
    </w:p>
    <w:p w:rsidR="00782BD2" w:rsidRPr="00F94EBB" w:rsidRDefault="00782BD2" w:rsidP="00782BD2">
      <w:pPr>
        <w:ind w:firstLine="900"/>
        <w:jc w:val="both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 xml:space="preserve">Для двух параллельно включенных элементов </w:t>
      </w:r>
      <w:r w:rsidRPr="00F94EBB">
        <w:rPr>
          <w:i/>
          <w:iCs/>
          <w:color w:val="000000"/>
          <w:sz w:val="24"/>
          <w:szCs w:val="24"/>
          <w:lang w:val="en-US"/>
        </w:rPr>
        <w:t>i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 xml:space="preserve">и </w:t>
      </w:r>
      <w:r w:rsidRPr="00F94EBB">
        <w:rPr>
          <w:i/>
          <w:iCs/>
          <w:color w:val="000000"/>
          <w:sz w:val="24"/>
          <w:szCs w:val="24"/>
          <w:lang w:val="en-US"/>
        </w:rPr>
        <w:t>j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>эквивалентный блок характер</w:t>
      </w:r>
      <w:r w:rsidRPr="00F94EBB">
        <w:rPr>
          <w:color w:val="000000"/>
          <w:sz w:val="24"/>
          <w:szCs w:val="24"/>
        </w:rPr>
        <w:t>и</w:t>
      </w:r>
      <w:r w:rsidRPr="00F94EBB">
        <w:rPr>
          <w:color w:val="000000"/>
          <w:sz w:val="24"/>
          <w:szCs w:val="24"/>
        </w:rPr>
        <w:t>зуется только показателями надежности, так как одновременные плановые простои элементов предполагаются нед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пустимыми. Показатели надежности эквивалентного блока</w:t>
      </w:r>
    </w:p>
    <w:p w:rsidR="00782BD2" w:rsidRPr="00F94EBB" w:rsidRDefault="00782BD2" w:rsidP="00782BD2">
      <w:pPr>
        <w:jc w:val="right"/>
        <w:rPr>
          <w:sz w:val="24"/>
          <w:szCs w:val="24"/>
        </w:rPr>
      </w:pPr>
      <w:r w:rsidRPr="00F94EBB">
        <w:rPr>
          <w:position w:val="-18"/>
          <w:sz w:val="24"/>
          <w:szCs w:val="24"/>
          <w:lang w:val="en-US"/>
        </w:rPr>
        <w:object w:dxaOrig="4740" w:dyaOrig="440">
          <v:shape id="_x0000_i1028" type="#_x0000_t75" style="width:237pt;height:21.75pt" o:ole="">
            <v:imagedata r:id="rId12" o:title=""/>
          </v:shape>
          <o:OLEObject Type="Embed" ProgID="Equation.3" ShapeID="_x0000_i1028" DrawAspect="Content" ObjectID="_1577015156" r:id="rId13"/>
        </w:objec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(2-22)</w:t>
      </w:r>
    </w:p>
    <w:p w:rsidR="00782BD2" w:rsidRPr="00F94EBB" w:rsidRDefault="00782BD2" w:rsidP="00782BD2">
      <w:pPr>
        <w:jc w:val="right"/>
        <w:rPr>
          <w:sz w:val="24"/>
          <w:szCs w:val="24"/>
        </w:rPr>
      </w:pPr>
      <w:r w:rsidRPr="00F94EBB">
        <w:rPr>
          <w:position w:val="-28"/>
          <w:sz w:val="24"/>
          <w:szCs w:val="24"/>
          <w:lang w:val="en-US"/>
        </w:rPr>
        <w:object w:dxaOrig="7220" w:dyaOrig="720">
          <v:shape id="_x0000_i1029" type="#_x0000_t75" style="width:360.75pt;height:36pt" o:ole="">
            <v:imagedata r:id="rId14" o:title=""/>
          </v:shape>
          <o:OLEObject Type="Embed" ProgID="Equation.3" ShapeID="_x0000_i1029" DrawAspect="Content" ObjectID="_1577015157" r:id="rId15"/>
        </w:object>
      </w:r>
      <w:r w:rsidRPr="00F94EBB">
        <w:rPr>
          <w:sz w:val="24"/>
          <w:szCs w:val="24"/>
        </w:rPr>
        <w:t xml:space="preserve">             (2-23)</w:t>
      </w:r>
    </w:p>
    <w:p w:rsidR="00782BD2" w:rsidRPr="00F94EBB" w:rsidRDefault="00782BD2" w:rsidP="00782BD2">
      <w:pPr>
        <w:jc w:val="right"/>
        <w:rPr>
          <w:sz w:val="24"/>
          <w:szCs w:val="24"/>
        </w:rPr>
      </w:pPr>
    </w:p>
    <w:p w:rsidR="00782BD2" w:rsidRPr="00F94EBB" w:rsidRDefault="00782BD2" w:rsidP="00782BD2">
      <w:pPr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 xml:space="preserve">где </w:t>
      </w:r>
      <w:r w:rsidRPr="00F94EBB">
        <w:rPr>
          <w:i/>
          <w:iCs/>
          <w:color w:val="000000"/>
          <w:sz w:val="24"/>
          <w:szCs w:val="24"/>
        </w:rPr>
        <w:t>Т</w:t>
      </w:r>
      <w:r w:rsidRPr="00F94EBB">
        <w:rPr>
          <w:i/>
          <w:iCs/>
          <w:color w:val="000000"/>
          <w:sz w:val="24"/>
          <w:szCs w:val="24"/>
          <w:vertAlign w:val="subscript"/>
        </w:rPr>
        <w:t>В</w:t>
      </w:r>
      <w:proofErr w:type="gramStart"/>
      <w:r w:rsidRPr="00F94EBB">
        <w:rPr>
          <w:i/>
          <w:iCs/>
          <w:color w:val="000000"/>
          <w:sz w:val="24"/>
          <w:szCs w:val="24"/>
          <w:vertAlign w:val="subscript"/>
        </w:rPr>
        <w:t>;В</w:t>
      </w:r>
      <w:proofErr w:type="gramEnd"/>
      <w:r w:rsidRPr="00F94EBB">
        <w:rPr>
          <w:color w:val="000000"/>
          <w:sz w:val="24"/>
          <w:szCs w:val="24"/>
        </w:rPr>
        <w:t xml:space="preserve"> - средняя длительность одновременного вынуж</w:t>
      </w:r>
      <w:r w:rsidRPr="00F94EBB">
        <w:rPr>
          <w:color w:val="000000"/>
          <w:sz w:val="24"/>
          <w:szCs w:val="24"/>
        </w:rPr>
        <w:softHyphen/>
        <w:t>денного простоя, равная согласно в</w:t>
      </w:r>
      <w:r w:rsidRPr="00F94EBB">
        <w:rPr>
          <w:color w:val="000000"/>
          <w:sz w:val="24"/>
          <w:szCs w:val="24"/>
        </w:rPr>
        <w:t>ы</w:t>
      </w:r>
      <w:r w:rsidRPr="00F94EBB">
        <w:rPr>
          <w:color w:val="000000"/>
          <w:sz w:val="24"/>
          <w:szCs w:val="24"/>
        </w:rPr>
        <w:t>ражениям   (2-6) —(2.8):</w:t>
      </w:r>
    </w:p>
    <w:p w:rsidR="00782BD2" w:rsidRPr="00F94EBB" w:rsidRDefault="00782BD2" w:rsidP="00782BD2">
      <w:pPr>
        <w:rPr>
          <w:color w:val="000000"/>
          <w:sz w:val="24"/>
          <w:szCs w:val="24"/>
        </w:rPr>
      </w:pPr>
    </w:p>
    <w:p w:rsidR="00782BD2" w:rsidRPr="00F94EBB" w:rsidRDefault="00782BD2" w:rsidP="00782BD2">
      <w:pPr>
        <w:jc w:val="right"/>
        <w:rPr>
          <w:sz w:val="24"/>
          <w:szCs w:val="24"/>
        </w:rPr>
      </w:pPr>
      <w:r w:rsidRPr="00F94EBB">
        <w:rPr>
          <w:position w:val="-40"/>
          <w:sz w:val="24"/>
          <w:szCs w:val="24"/>
        </w:rPr>
        <w:object w:dxaOrig="1780" w:dyaOrig="880">
          <v:shape id="_x0000_i1030" type="#_x0000_t75" style="width:89.25pt;height:44.25pt" o:ole="">
            <v:imagedata r:id="rId16" o:title=""/>
          </v:shape>
          <o:OLEObject Type="Embed" ProgID="Equation.3" ShapeID="_x0000_i1030" DrawAspect="Content" ObjectID="_1577015158" r:id="rId17"/>
        </w:object>
      </w:r>
      <w:r w:rsidRPr="00F94EBB">
        <w:rPr>
          <w:sz w:val="24"/>
          <w:szCs w:val="24"/>
        </w:rPr>
        <w:t xml:space="preserve">                                                 (2-24)</w:t>
      </w:r>
    </w:p>
    <w:p w:rsidR="00782BD2" w:rsidRPr="00F94EBB" w:rsidRDefault="00782BD2" w:rsidP="00782BD2">
      <w:pPr>
        <w:jc w:val="right"/>
        <w:rPr>
          <w:sz w:val="24"/>
          <w:szCs w:val="24"/>
        </w:rPr>
      </w:pP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F94EBB">
        <w:rPr>
          <w:i/>
          <w:iCs/>
          <w:color w:val="000000"/>
          <w:sz w:val="24"/>
          <w:szCs w:val="24"/>
        </w:rPr>
        <w:t>Т</w:t>
      </w:r>
      <w:r w:rsidRPr="00F94EBB">
        <w:rPr>
          <w:i/>
          <w:iCs/>
          <w:color w:val="000000"/>
          <w:sz w:val="24"/>
          <w:szCs w:val="24"/>
          <w:vertAlign w:val="subscript"/>
        </w:rPr>
        <w:t>В</w:t>
      </w:r>
      <w:proofErr w:type="gramStart"/>
      <w:r w:rsidRPr="00F94EBB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proofErr w:type="gramEnd"/>
      <w:r w:rsidRPr="00F94EBB">
        <w:rPr>
          <w:i/>
          <w:iCs/>
          <w:color w:val="000000"/>
          <w:sz w:val="24"/>
          <w:szCs w:val="24"/>
          <w:vertAlign w:val="subscript"/>
        </w:rPr>
        <w:t>;П</w:t>
      </w:r>
      <w:r w:rsidRPr="00F94EBB">
        <w:rPr>
          <w:i/>
          <w:iCs/>
          <w:color w:val="000000"/>
          <w:sz w:val="24"/>
          <w:szCs w:val="24"/>
          <w:vertAlign w:val="subscript"/>
          <w:lang w:val="en-US"/>
        </w:rPr>
        <w:t>j</w:t>
      </w:r>
      <w:r w:rsidRPr="00F94EBB">
        <w:rPr>
          <w:i/>
          <w:iCs/>
          <w:color w:val="000000"/>
          <w:sz w:val="24"/>
          <w:szCs w:val="24"/>
        </w:rPr>
        <w:t xml:space="preserve">  </w:t>
      </w:r>
      <w:r w:rsidRPr="00F94EBB">
        <w:rPr>
          <w:color w:val="000000"/>
          <w:sz w:val="24"/>
          <w:szCs w:val="24"/>
        </w:rPr>
        <w:t xml:space="preserve">и   </w:t>
      </w:r>
      <w:r w:rsidRPr="00F94EBB">
        <w:rPr>
          <w:i/>
          <w:iCs/>
          <w:color w:val="000000"/>
          <w:sz w:val="24"/>
          <w:szCs w:val="24"/>
        </w:rPr>
        <w:t>Т</w:t>
      </w:r>
      <w:r w:rsidRPr="00F94EBB">
        <w:rPr>
          <w:i/>
          <w:iCs/>
          <w:color w:val="000000"/>
          <w:sz w:val="24"/>
          <w:szCs w:val="24"/>
          <w:vertAlign w:val="subscript"/>
        </w:rPr>
        <w:t>В</w:t>
      </w:r>
      <w:r w:rsidRPr="00F94EBB">
        <w:rPr>
          <w:i/>
          <w:iCs/>
          <w:color w:val="000000"/>
          <w:sz w:val="24"/>
          <w:szCs w:val="24"/>
          <w:vertAlign w:val="subscript"/>
          <w:lang w:val="en-US"/>
        </w:rPr>
        <w:t>j</w:t>
      </w:r>
      <w:r w:rsidRPr="00F94EBB">
        <w:rPr>
          <w:i/>
          <w:iCs/>
          <w:color w:val="000000"/>
          <w:sz w:val="24"/>
          <w:szCs w:val="24"/>
          <w:vertAlign w:val="subscript"/>
        </w:rPr>
        <w:t>;П</w:t>
      </w:r>
      <w:r w:rsidRPr="00F94EBB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F94EBB">
        <w:rPr>
          <w:color w:val="000000"/>
          <w:sz w:val="24"/>
          <w:szCs w:val="24"/>
        </w:rPr>
        <w:t xml:space="preserve"> - средние длительности  одновременного, простоя при наложении отказа на пл</w:t>
      </w:r>
      <w:r w:rsidRPr="00F94EBB">
        <w:rPr>
          <w:color w:val="000000"/>
          <w:sz w:val="24"/>
          <w:szCs w:val="24"/>
        </w:rPr>
        <w:t>а</w:t>
      </w:r>
      <w:r w:rsidRPr="00F94EBB">
        <w:rPr>
          <w:color w:val="000000"/>
          <w:sz w:val="24"/>
          <w:szCs w:val="24"/>
        </w:rPr>
        <w:t>новый     ремонт, определяемые по (2-13) или (2-14).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Если пропускная способность отдельных связей меж</w:t>
      </w:r>
      <w:r w:rsidRPr="00F94EBB">
        <w:rPr>
          <w:color w:val="000000"/>
          <w:sz w:val="24"/>
          <w:szCs w:val="24"/>
        </w:rPr>
        <w:softHyphen/>
        <w:t>ду потребителем и источник</w:t>
      </w:r>
      <w:r w:rsidRPr="00F94EBB">
        <w:rPr>
          <w:color w:val="000000"/>
          <w:sz w:val="24"/>
          <w:szCs w:val="24"/>
        </w:rPr>
        <w:t>а</w:t>
      </w:r>
      <w:r w:rsidRPr="00F94EBB">
        <w:rPr>
          <w:color w:val="000000"/>
          <w:sz w:val="24"/>
          <w:szCs w:val="24"/>
        </w:rPr>
        <w:t>ми питания или мощность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object w:dxaOrig="2995" w:dyaOrig="2159">
          <v:shape id="_x0000_i1031" type="#_x0000_t75" style="width:2in;height:104.25pt">
            <v:imagedata r:id="rId18" o:title=""/>
          </v:shape>
        </w:object>
      </w:r>
      <w:r w:rsidRPr="00F94EBB">
        <w:rPr>
          <w:color w:val="000000"/>
          <w:sz w:val="24"/>
          <w:szCs w:val="24"/>
        </w:rPr>
        <w:t xml:space="preserve">                      </w:t>
      </w:r>
      <w:r w:rsidRPr="00F94EBB">
        <w:rPr>
          <w:color w:val="000000"/>
          <w:sz w:val="24"/>
          <w:szCs w:val="24"/>
        </w:rPr>
        <w:object w:dxaOrig="1000" w:dyaOrig="710">
          <v:shape id="_x0000_i1032" type="#_x0000_t75" style="width:149.25pt;height:105.75pt" o:ole="">
            <v:imagedata r:id="rId19" o:title=""/>
          </v:shape>
          <o:OLEObject Type="Embed" ProgID="KOMPAS.FRW" ShapeID="_x0000_i1032" DrawAspect="Content" ObjectID="_1577015159" r:id="rId20"/>
        </w:object>
      </w:r>
    </w:p>
    <w:p w:rsidR="00782BD2" w:rsidRPr="00F94EBB" w:rsidRDefault="00782BD2" w:rsidP="00782BD2">
      <w:pPr>
        <w:jc w:val="center"/>
        <w:rPr>
          <w:b/>
          <w:color w:val="000000"/>
        </w:rPr>
      </w:pPr>
      <w:r w:rsidRPr="00F94EBB">
        <w:rPr>
          <w:b/>
          <w:color w:val="000000"/>
        </w:rPr>
        <w:t>Рисунок 12</w:t>
      </w:r>
    </w:p>
    <w:p w:rsidR="00782BD2" w:rsidRPr="00F94EBB" w:rsidRDefault="00782BD2" w:rsidP="00782BD2">
      <w:pPr>
        <w:jc w:val="center"/>
        <w:rPr>
          <w:color w:val="000000"/>
          <w:sz w:val="24"/>
          <w:szCs w:val="24"/>
        </w:rPr>
      </w:pP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F94EBB">
        <w:rPr>
          <w:color w:val="000000"/>
          <w:sz w:val="24"/>
          <w:szCs w:val="24"/>
        </w:rPr>
        <w:t>отдельных источников не может обеспечить полного снабжения потребителя электроэнерг</w:t>
      </w:r>
      <w:r w:rsidRPr="00F94EBB">
        <w:rPr>
          <w:color w:val="000000"/>
          <w:sz w:val="24"/>
          <w:szCs w:val="24"/>
        </w:rPr>
        <w:t>и</w:t>
      </w:r>
      <w:r w:rsidRPr="00F94EBB">
        <w:rPr>
          <w:color w:val="000000"/>
          <w:sz w:val="24"/>
          <w:szCs w:val="24"/>
        </w:rPr>
        <w:t>ей, то кроме пере</w:t>
      </w:r>
      <w:r w:rsidRPr="00F94EBB">
        <w:rPr>
          <w:color w:val="000000"/>
          <w:sz w:val="24"/>
          <w:szCs w:val="24"/>
        </w:rPr>
        <w:softHyphen/>
        <w:t>рывов электроснабжения, определяемых показателями надежности резул</w:t>
      </w:r>
      <w:r w:rsidRPr="00F94EBB">
        <w:rPr>
          <w:color w:val="000000"/>
          <w:sz w:val="24"/>
          <w:szCs w:val="24"/>
        </w:rPr>
        <w:t>ь</w:t>
      </w:r>
      <w:r w:rsidRPr="00F94EBB">
        <w:rPr>
          <w:color w:val="000000"/>
          <w:sz w:val="24"/>
          <w:szCs w:val="24"/>
        </w:rPr>
        <w:t xml:space="preserve">тирующего блока (например, блок </w:t>
      </w:r>
      <w:r w:rsidRPr="00F94EBB">
        <w:rPr>
          <w:i/>
          <w:iCs/>
          <w:color w:val="000000"/>
          <w:sz w:val="24"/>
          <w:szCs w:val="24"/>
          <w:lang w:val="en-US"/>
        </w:rPr>
        <w:t>IV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>рис. 2-б</w:t>
      </w:r>
      <w:proofErr w:type="gramStart"/>
      <w:r w:rsidRPr="00F94EBB">
        <w:rPr>
          <w:color w:val="000000"/>
          <w:sz w:val="24"/>
          <w:szCs w:val="24"/>
        </w:rPr>
        <w:t>,г</w:t>
      </w:r>
      <w:proofErr w:type="gramEnd"/>
      <w:r w:rsidRPr="00F94EBB">
        <w:rPr>
          <w:color w:val="000000"/>
          <w:sz w:val="24"/>
          <w:szCs w:val="24"/>
        </w:rPr>
        <w:t>), необходимо учитывать режимы, в к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торых происходит ограничение электроснабжения. Так, если в схеме на рис. 2-5,а пропускная сп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 xml:space="preserve">собность линий </w:t>
      </w:r>
      <w:r w:rsidRPr="00F94EBB">
        <w:rPr>
          <w:i/>
          <w:iCs/>
          <w:color w:val="000000"/>
          <w:sz w:val="24"/>
          <w:szCs w:val="24"/>
        </w:rPr>
        <w:t>Л</w:t>
      </w:r>
      <w:proofErr w:type="gramStart"/>
      <w:r w:rsidRPr="00F94EBB">
        <w:rPr>
          <w:i/>
          <w:iCs/>
          <w:color w:val="000000"/>
          <w:sz w:val="24"/>
          <w:szCs w:val="24"/>
        </w:rPr>
        <w:t>4</w:t>
      </w:r>
      <w:proofErr w:type="gramEnd"/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iCs/>
          <w:color w:val="000000"/>
          <w:sz w:val="24"/>
          <w:szCs w:val="24"/>
        </w:rPr>
        <w:t>и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i/>
          <w:iCs/>
          <w:color w:val="000000"/>
          <w:sz w:val="24"/>
          <w:szCs w:val="24"/>
          <w:lang w:val="en-US"/>
        </w:rPr>
        <w:t>JI</w:t>
      </w:r>
      <w:r w:rsidRPr="00F94EBB">
        <w:rPr>
          <w:i/>
          <w:iCs/>
          <w:color w:val="000000"/>
          <w:sz w:val="24"/>
          <w:szCs w:val="24"/>
        </w:rPr>
        <w:t xml:space="preserve">5 </w:t>
      </w:r>
      <w:r w:rsidRPr="00F94EBB">
        <w:rPr>
          <w:color w:val="000000"/>
          <w:sz w:val="24"/>
          <w:szCs w:val="24"/>
        </w:rPr>
        <w:t xml:space="preserve">или мощность источника питания </w:t>
      </w:r>
      <w:r w:rsidRPr="00F94EBB">
        <w:rPr>
          <w:i/>
          <w:iCs/>
          <w:color w:val="000000"/>
          <w:sz w:val="24"/>
          <w:szCs w:val="24"/>
        </w:rPr>
        <w:t xml:space="preserve">ИПЗ </w:t>
      </w:r>
      <w:r w:rsidRPr="00F94EBB">
        <w:rPr>
          <w:color w:val="000000"/>
          <w:sz w:val="24"/>
          <w:szCs w:val="24"/>
        </w:rPr>
        <w:t>меньше на</w:t>
      </w:r>
      <w:r w:rsidRPr="00F94EBB">
        <w:rPr>
          <w:color w:val="000000"/>
          <w:sz w:val="24"/>
          <w:szCs w:val="24"/>
        </w:rPr>
        <w:softHyphen/>
        <w:t>грузки потребит</w:t>
      </w:r>
      <w:r w:rsidRPr="00F94EBB">
        <w:rPr>
          <w:color w:val="000000"/>
          <w:sz w:val="24"/>
          <w:szCs w:val="24"/>
        </w:rPr>
        <w:t>е</w:t>
      </w:r>
      <w:r w:rsidRPr="00F94EBB">
        <w:rPr>
          <w:color w:val="000000"/>
          <w:sz w:val="24"/>
          <w:szCs w:val="24"/>
        </w:rPr>
        <w:t>ля, то возможны ограничения потреби</w:t>
      </w:r>
      <w:r w:rsidRPr="00F94EBB">
        <w:rPr>
          <w:color w:val="000000"/>
          <w:sz w:val="24"/>
          <w:szCs w:val="24"/>
        </w:rPr>
        <w:softHyphen/>
        <w:t xml:space="preserve">теля, </w:t>
      </w:r>
      <w:r w:rsidRPr="00F94EBB">
        <w:rPr>
          <w:color w:val="000000"/>
          <w:sz w:val="24"/>
          <w:szCs w:val="24"/>
        </w:rPr>
        <w:lastRenderedPageBreak/>
        <w:t>математические ожидания и длительности кот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рых определяются показателями надежности и плановых прост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 xml:space="preserve">ев блока </w:t>
      </w:r>
      <w:r w:rsidRPr="00F94EBB">
        <w:rPr>
          <w:color w:val="000000"/>
          <w:sz w:val="24"/>
          <w:szCs w:val="24"/>
          <w:lang w:val="en-US"/>
        </w:rPr>
        <w:t>III</w:t>
      </w:r>
      <w:r w:rsidRPr="00F94EBB">
        <w:rPr>
          <w:color w:val="000000"/>
          <w:sz w:val="24"/>
          <w:szCs w:val="24"/>
        </w:rPr>
        <w:t xml:space="preserve"> (рис. 2-6,</w:t>
      </w:r>
      <w:r w:rsidRPr="00F94EBB">
        <w:rPr>
          <w:i/>
          <w:iCs/>
          <w:color w:val="000000"/>
          <w:sz w:val="24"/>
          <w:szCs w:val="24"/>
        </w:rPr>
        <w:t>в).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Для блок-схем с перемычками (рис. 2-8) рассчиты</w:t>
      </w:r>
      <w:r w:rsidRPr="00F94EBB">
        <w:rPr>
          <w:color w:val="000000"/>
          <w:sz w:val="24"/>
          <w:szCs w:val="24"/>
        </w:rPr>
        <w:softHyphen/>
        <w:t>ваются характеристики эквив</w:t>
      </w:r>
      <w:r w:rsidRPr="00F94EBB">
        <w:rPr>
          <w:color w:val="000000"/>
          <w:sz w:val="24"/>
          <w:szCs w:val="24"/>
        </w:rPr>
        <w:t>а</w:t>
      </w:r>
      <w:r w:rsidRPr="00F94EBB">
        <w:rPr>
          <w:color w:val="000000"/>
          <w:sz w:val="24"/>
          <w:szCs w:val="24"/>
        </w:rPr>
        <w:t>лентных блоков для двух схем, получаемых из исходной, а именно: первой (рис. 2-9,а), в к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торой в перемычке нет блока, т. е. без учета вынужденных и плановых простоев блока; вт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рой (рис. 2-10,</w:t>
      </w:r>
      <w:r w:rsidRPr="00F94EBB">
        <w:rPr>
          <w:i/>
          <w:iCs/>
          <w:color w:val="000000"/>
          <w:sz w:val="24"/>
          <w:szCs w:val="24"/>
        </w:rPr>
        <w:t xml:space="preserve">а), </w:t>
      </w:r>
      <w:r w:rsidRPr="00F94EBB">
        <w:rPr>
          <w:color w:val="000000"/>
          <w:sz w:val="24"/>
          <w:szCs w:val="24"/>
        </w:rPr>
        <w:t xml:space="preserve">в которой </w:t>
      </w:r>
      <w:proofErr w:type="spellStart"/>
      <w:r w:rsidRPr="00F94EBB">
        <w:rPr>
          <w:color w:val="000000"/>
          <w:sz w:val="24"/>
          <w:szCs w:val="24"/>
        </w:rPr>
        <w:t>пермычка</w:t>
      </w:r>
      <w:proofErr w:type="spellEnd"/>
      <w:r w:rsidRPr="00F94EBB">
        <w:rPr>
          <w:color w:val="000000"/>
          <w:sz w:val="24"/>
          <w:szCs w:val="24"/>
        </w:rPr>
        <w:t xml:space="preserve"> вообще отсутствует. По полученным показателям надежности этих схем </w:t>
      </w:r>
      <w:proofErr w:type="spellStart"/>
      <w:r w:rsidRPr="00F94EBB">
        <w:rPr>
          <w:color w:val="000000"/>
          <w:sz w:val="24"/>
          <w:szCs w:val="24"/>
        </w:rPr>
        <w:t>шм</w:t>
      </w:r>
      <w:proofErr w:type="spellEnd"/>
      <w:r w:rsidRPr="00F94EBB">
        <w:rPr>
          <w:color w:val="000000"/>
          <w:sz w:val="24"/>
          <w:szCs w:val="24"/>
        </w:rPr>
        <w:t xml:space="preserve">; </w:t>
      </w:r>
      <w:r w:rsidRPr="00F94EBB">
        <w:rPr>
          <w:i/>
          <w:iCs/>
          <w:color w:val="000000"/>
          <w:sz w:val="24"/>
          <w:szCs w:val="24"/>
        </w:rPr>
        <w:t>Т</w:t>
      </w:r>
      <w:r w:rsidRPr="00F94EBB">
        <w:rPr>
          <w:i/>
          <w:iCs/>
          <w:color w:val="000000"/>
          <w:sz w:val="24"/>
          <w:szCs w:val="24"/>
          <w:vertAlign w:val="subscript"/>
        </w:rPr>
        <w:t>ВМ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 xml:space="preserve">(рис. 2-9,6) </w:t>
      </w:r>
      <w:proofErr w:type="spellStart"/>
      <w:r w:rsidRPr="00F94EBB">
        <w:rPr>
          <w:color w:val="000000"/>
          <w:sz w:val="24"/>
          <w:szCs w:val="24"/>
          <w:lang w:val="en-US"/>
        </w:rPr>
        <w:t>ω</w:t>
      </w:r>
      <w:r w:rsidRPr="00F94EBB">
        <w:rPr>
          <w:color w:val="000000"/>
          <w:sz w:val="24"/>
          <w:szCs w:val="24"/>
          <w:vertAlign w:val="subscript"/>
          <w:lang w:val="en-US"/>
        </w:rPr>
        <w:t>L</w:t>
      </w:r>
      <w:proofErr w:type="spellEnd"/>
      <w:proofErr w:type="gramStart"/>
      <w:r w:rsidRPr="00F94EBB">
        <w:rPr>
          <w:color w:val="000000"/>
          <w:sz w:val="24"/>
          <w:szCs w:val="24"/>
        </w:rPr>
        <w:t xml:space="preserve"> </w:t>
      </w:r>
      <w:r w:rsidRPr="00F94EBB">
        <w:rPr>
          <w:smallCaps/>
          <w:color w:val="000000"/>
          <w:sz w:val="24"/>
          <w:szCs w:val="24"/>
        </w:rPr>
        <w:t>;</w:t>
      </w:r>
      <w:proofErr w:type="gramEnd"/>
      <w:r w:rsidRPr="00F94EBB">
        <w:rPr>
          <w:smallCaps/>
          <w:color w:val="000000"/>
          <w:sz w:val="24"/>
          <w:szCs w:val="24"/>
        </w:rPr>
        <w:t xml:space="preserve"> </w:t>
      </w:r>
      <w:proofErr w:type="spellStart"/>
      <w:r w:rsidRPr="00F94EBB">
        <w:rPr>
          <w:i/>
          <w:iCs/>
          <w:smallCaps/>
          <w:color w:val="000000"/>
          <w:sz w:val="24"/>
          <w:szCs w:val="24"/>
          <w:lang w:val="en-US"/>
        </w:rPr>
        <w:t>T</w:t>
      </w:r>
      <w:r w:rsidRPr="00F94EBB">
        <w:rPr>
          <w:iCs/>
          <w:smallCaps/>
          <w:color w:val="000000"/>
          <w:sz w:val="24"/>
          <w:szCs w:val="24"/>
          <w:vertAlign w:val="subscript"/>
          <w:lang w:val="en-US"/>
        </w:rPr>
        <w:t>bL</w:t>
      </w:r>
      <w:proofErr w:type="spellEnd"/>
      <w:r w:rsidRPr="00F94EBB">
        <w:rPr>
          <w:i/>
          <w:iCs/>
          <w:smallCap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 xml:space="preserve">(рис. 2-10,6) и известным коэффициентам вынужденного и планового простоев блока перемычки </w:t>
      </w:r>
      <w:r w:rsidRPr="00F94EBB">
        <w:rPr>
          <w:i/>
          <w:iCs/>
          <w:color w:val="000000"/>
          <w:sz w:val="24"/>
          <w:szCs w:val="24"/>
        </w:rPr>
        <w:t>К</w:t>
      </w:r>
      <w:r w:rsidRPr="00F94EBB">
        <w:rPr>
          <w:i/>
          <w:iCs/>
          <w:color w:val="000000"/>
          <w:sz w:val="24"/>
          <w:szCs w:val="24"/>
          <w:vertAlign w:val="subscript"/>
        </w:rPr>
        <w:t>В</w:t>
      </w:r>
      <w:r w:rsidRPr="00F94EBB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 xml:space="preserve">и </w:t>
      </w:r>
      <w:r w:rsidRPr="00F94EBB">
        <w:rPr>
          <w:i/>
          <w:iCs/>
          <w:color w:val="000000"/>
          <w:sz w:val="24"/>
          <w:szCs w:val="24"/>
          <w:lang w:val="en-US"/>
        </w:rPr>
        <w:t>K</w:t>
      </w:r>
      <w:r w:rsidRPr="00F94EBB">
        <w:rPr>
          <w:i/>
          <w:iCs/>
          <w:color w:val="000000"/>
          <w:sz w:val="24"/>
          <w:szCs w:val="24"/>
          <w:vertAlign w:val="subscript"/>
        </w:rPr>
        <w:t>П</w:t>
      </w:r>
      <w:r w:rsidRPr="00F94EBB">
        <w:rPr>
          <w:i/>
          <w:iCs/>
          <w:color w:val="000000"/>
          <w:sz w:val="24"/>
          <w:szCs w:val="24"/>
          <w:vertAlign w:val="subscript"/>
          <w:lang w:val="en-US"/>
        </w:rPr>
        <w:t>i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>вычисляются результирую</w:t>
      </w:r>
      <w:r w:rsidRPr="00F94EBB">
        <w:rPr>
          <w:color w:val="000000"/>
          <w:sz w:val="24"/>
          <w:szCs w:val="24"/>
        </w:rPr>
        <w:softHyphen/>
        <w:t>щие показатели надежности электроснабж</w:t>
      </w:r>
      <w:r w:rsidRPr="00F94EBB">
        <w:rPr>
          <w:color w:val="000000"/>
          <w:sz w:val="24"/>
          <w:szCs w:val="24"/>
        </w:rPr>
        <w:t>е</w:t>
      </w:r>
      <w:r w:rsidRPr="00F94EBB">
        <w:rPr>
          <w:color w:val="000000"/>
          <w:sz w:val="24"/>
          <w:szCs w:val="24"/>
        </w:rPr>
        <w:t>ния: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 xml:space="preserve"> </w:t>
      </w:r>
    </w:p>
    <w:p w:rsidR="00782BD2" w:rsidRPr="00F94EBB" w:rsidRDefault="00782BD2" w:rsidP="00782BD2">
      <w:pPr>
        <w:ind w:firstLine="900"/>
        <w:jc w:val="right"/>
        <w:rPr>
          <w:sz w:val="24"/>
          <w:szCs w:val="24"/>
        </w:rPr>
      </w:pPr>
      <w:r w:rsidRPr="00F94EBB">
        <w:rPr>
          <w:position w:val="-22"/>
          <w:sz w:val="24"/>
          <w:szCs w:val="24"/>
          <w:lang w:val="en-US"/>
        </w:rPr>
        <w:object w:dxaOrig="4620" w:dyaOrig="460">
          <v:shape id="_x0000_i1033" type="#_x0000_t75" style="width:231pt;height:23.25pt" o:ole="">
            <v:imagedata r:id="rId21" o:title=""/>
          </v:shape>
          <o:OLEObject Type="Embed" ProgID="Equation.3" ShapeID="_x0000_i1033" DrawAspect="Content" ObjectID="_1577015160" r:id="rId22"/>
        </w:object>
      </w:r>
      <w:r w:rsidRPr="00F94EBB">
        <w:rPr>
          <w:sz w:val="24"/>
          <w:szCs w:val="24"/>
        </w:rPr>
        <w:t xml:space="preserve">                    (2-25)</w:t>
      </w:r>
    </w:p>
    <w:p w:rsidR="00782BD2" w:rsidRPr="00F94EBB" w:rsidRDefault="00782BD2" w:rsidP="00782BD2">
      <w:pPr>
        <w:ind w:firstLine="900"/>
        <w:jc w:val="right"/>
        <w:rPr>
          <w:sz w:val="24"/>
          <w:szCs w:val="24"/>
        </w:rPr>
      </w:pPr>
      <w:r w:rsidRPr="00F94EBB">
        <w:rPr>
          <w:position w:val="-24"/>
          <w:sz w:val="24"/>
          <w:szCs w:val="24"/>
          <w:lang w:val="en-US"/>
        </w:rPr>
        <w:object w:dxaOrig="5899" w:dyaOrig="620">
          <v:shape id="_x0000_i1034" type="#_x0000_t75" style="width:294.75pt;height:30.75pt" o:ole="">
            <v:imagedata r:id="rId23" o:title=""/>
          </v:shape>
          <o:OLEObject Type="Embed" ProgID="Equation.3" ShapeID="_x0000_i1034" DrawAspect="Content" ObjectID="_1577015161" r:id="rId24"/>
        </w:object>
      </w:r>
      <w:r w:rsidRPr="00F94EBB">
        <w:rPr>
          <w:sz w:val="24"/>
          <w:szCs w:val="24"/>
        </w:rPr>
        <w:t xml:space="preserve">            (2-26)</w:t>
      </w:r>
    </w:p>
    <w:p w:rsidR="00782BD2" w:rsidRPr="00F94EBB" w:rsidRDefault="00782BD2" w:rsidP="00782BD2">
      <w:pPr>
        <w:ind w:firstLine="900"/>
        <w:jc w:val="right"/>
        <w:rPr>
          <w:sz w:val="24"/>
          <w:szCs w:val="24"/>
        </w:rPr>
      </w:pP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900"/>
        <w:rPr>
          <w:sz w:val="24"/>
          <w:szCs w:val="24"/>
        </w:rPr>
      </w:pPr>
      <w:r w:rsidRPr="00F94EBB">
        <w:rPr>
          <w:color w:val="000000"/>
          <w:sz w:val="24"/>
          <w:szCs w:val="24"/>
        </w:rPr>
        <w:t>В качестве примера произведем расчет математического ожида</w:t>
      </w:r>
      <w:r w:rsidRPr="00F94EBB">
        <w:rPr>
          <w:color w:val="000000"/>
          <w:sz w:val="24"/>
          <w:szCs w:val="24"/>
        </w:rPr>
        <w:softHyphen/>
        <w:t>ния перерывов электроснабжения и их средней длительности для схемы, прив</w:t>
      </w:r>
      <w:r w:rsidRPr="00F94EBB">
        <w:rPr>
          <w:color w:val="000000"/>
          <w:sz w:val="24"/>
          <w:szCs w:val="24"/>
        </w:rPr>
        <w:t>е</w:t>
      </w:r>
      <w:r w:rsidRPr="00F94EBB">
        <w:rPr>
          <w:color w:val="000000"/>
          <w:sz w:val="24"/>
          <w:szCs w:val="24"/>
        </w:rPr>
        <w:t>денной на рис. 2-5,а.</w:t>
      </w: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rPr>
          <w:sz w:val="24"/>
          <w:szCs w:val="24"/>
        </w:rPr>
      </w:pPr>
      <w:r w:rsidRPr="00F94EBB">
        <w:rPr>
          <w:color w:val="000000"/>
          <w:sz w:val="24"/>
          <w:szCs w:val="24"/>
        </w:rPr>
        <w:t>Параметры линий электропередачи и их показатели надежности даны в табл. 2-1. Возможность проведения плановых ремонтов линий в п</w:t>
      </w:r>
      <w:r w:rsidRPr="00F94EBB">
        <w:rPr>
          <w:color w:val="000000"/>
          <w:sz w:val="24"/>
          <w:szCs w:val="24"/>
        </w:rPr>
        <w:t>е</w:t>
      </w:r>
      <w:r w:rsidRPr="00F94EBB">
        <w:rPr>
          <w:color w:val="000000"/>
          <w:sz w:val="24"/>
          <w:szCs w:val="24"/>
        </w:rPr>
        <w:t>риоды с благоприятными климатическими условиями учтена коэ</w:t>
      </w:r>
      <w:r w:rsidRPr="00F94EBB">
        <w:rPr>
          <w:color w:val="000000"/>
          <w:sz w:val="24"/>
          <w:szCs w:val="24"/>
        </w:rPr>
        <w:t>ф</w:t>
      </w:r>
      <w:r w:rsidRPr="00F94EBB">
        <w:rPr>
          <w:color w:val="000000"/>
          <w:sz w:val="24"/>
          <w:szCs w:val="24"/>
        </w:rPr>
        <w:t xml:space="preserve">фициентом </w:t>
      </w:r>
      <w:proofErr w:type="spellStart"/>
      <w:r w:rsidRPr="00F94EBB">
        <w:rPr>
          <w:i/>
          <w:color w:val="000000"/>
          <w:sz w:val="24"/>
          <w:szCs w:val="24"/>
          <w:lang w:val="en-US"/>
        </w:rPr>
        <w:t>k</w:t>
      </w:r>
      <w:r w:rsidRPr="00F94EBB">
        <w:rPr>
          <w:i/>
          <w:color w:val="000000"/>
          <w:sz w:val="24"/>
          <w:szCs w:val="24"/>
          <w:vertAlign w:val="subscript"/>
          <w:lang w:val="en-US"/>
        </w:rPr>
        <w:t>ω</w:t>
      </w:r>
      <w:proofErr w:type="spellEnd"/>
      <w:r w:rsidRPr="00F94EBB">
        <w:rPr>
          <w:color w:val="000000"/>
          <w:sz w:val="24"/>
          <w:szCs w:val="24"/>
        </w:rPr>
        <w:t xml:space="preserve"> = 0,5.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</w:p>
    <w:tbl>
      <w:tblPr>
        <w:tblpPr w:leftFromText="180" w:rightFromText="180" w:vertAnchor="text" w:horzAnchor="margin" w:tblpXSpec="center" w:tblpY="716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9"/>
        <w:gridCol w:w="2170"/>
        <w:gridCol w:w="1428"/>
        <w:gridCol w:w="1191"/>
        <w:gridCol w:w="806"/>
        <w:gridCol w:w="1147"/>
        <w:gridCol w:w="778"/>
      </w:tblGrid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9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94EBB">
              <w:rPr>
                <w:b/>
                <w:color w:val="000000"/>
                <w:sz w:val="24"/>
                <w:szCs w:val="24"/>
              </w:rPr>
              <w:t>Л</w:t>
            </w:r>
            <w:r w:rsidRPr="00F94EBB">
              <w:rPr>
                <w:b/>
                <w:color w:val="000000"/>
                <w:sz w:val="24"/>
                <w:szCs w:val="24"/>
              </w:rPr>
              <w:t>и</w:t>
            </w:r>
            <w:r w:rsidRPr="00F94EBB">
              <w:rPr>
                <w:b/>
                <w:color w:val="000000"/>
                <w:sz w:val="24"/>
                <w:szCs w:val="24"/>
              </w:rPr>
              <w:t>ния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94EBB">
              <w:rPr>
                <w:b/>
                <w:color w:val="000000"/>
                <w:sz w:val="24"/>
                <w:szCs w:val="24"/>
              </w:rPr>
              <w:t>Напр</w:t>
            </w:r>
            <w:r w:rsidRPr="00F94EBB">
              <w:rPr>
                <w:b/>
                <w:color w:val="000000"/>
                <w:sz w:val="24"/>
                <w:szCs w:val="24"/>
              </w:rPr>
              <w:t>я</w:t>
            </w:r>
            <w:r w:rsidRPr="00F94EBB">
              <w:rPr>
                <w:b/>
                <w:color w:val="000000"/>
                <w:sz w:val="24"/>
                <w:szCs w:val="24"/>
              </w:rPr>
              <w:t>же</w:t>
            </w:r>
            <w:r w:rsidRPr="00F94EBB">
              <w:rPr>
                <w:b/>
                <w:color w:val="000000"/>
                <w:sz w:val="24"/>
                <w:szCs w:val="24"/>
              </w:rPr>
              <w:softHyphen/>
              <w:t xml:space="preserve">ние, </w:t>
            </w:r>
            <w:proofErr w:type="spellStart"/>
            <w:r w:rsidRPr="00F94EBB">
              <w:rPr>
                <w:b/>
                <w:color w:val="000000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94EBB">
              <w:rPr>
                <w:b/>
                <w:color w:val="000000"/>
                <w:sz w:val="24"/>
                <w:szCs w:val="24"/>
              </w:rPr>
              <w:t>Дл</w:t>
            </w:r>
            <w:r w:rsidRPr="00F94EBB">
              <w:rPr>
                <w:b/>
                <w:color w:val="000000"/>
                <w:sz w:val="24"/>
                <w:szCs w:val="24"/>
              </w:rPr>
              <w:t>и</w:t>
            </w:r>
            <w:r w:rsidRPr="00F94EBB">
              <w:rPr>
                <w:b/>
                <w:color w:val="000000"/>
                <w:sz w:val="24"/>
                <w:szCs w:val="24"/>
              </w:rPr>
              <w:t xml:space="preserve">на, </w:t>
            </w:r>
            <w:proofErr w:type="gramStart"/>
            <w:r w:rsidRPr="00F94EBB">
              <w:rPr>
                <w:b/>
                <w:color w:val="000000"/>
                <w:sz w:val="24"/>
                <w:szCs w:val="24"/>
              </w:rPr>
              <w:t>км</w:t>
            </w:r>
            <w:proofErr w:type="gramEnd"/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94EBB">
              <w:rPr>
                <w:b/>
                <w:color w:val="000000"/>
                <w:sz w:val="24"/>
                <w:szCs w:val="24"/>
              </w:rPr>
              <w:t>ω, 1/год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94EBB">
              <w:rPr>
                <w:b/>
                <w:sz w:val="24"/>
                <w:szCs w:val="24"/>
                <w:lang w:val="en-US"/>
              </w:rPr>
              <w:t>T</w:t>
            </w:r>
            <w:r w:rsidRPr="00F94EBB">
              <w:rPr>
                <w:b/>
                <w:sz w:val="24"/>
                <w:szCs w:val="24"/>
                <w:vertAlign w:val="subscript"/>
              </w:rPr>
              <w:t>В</w:t>
            </w:r>
            <w:r w:rsidRPr="00F94EBB">
              <w:rPr>
                <w:b/>
                <w:sz w:val="24"/>
                <w:szCs w:val="24"/>
              </w:rPr>
              <w:t>, ч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94EBB">
              <w:rPr>
                <w:b/>
                <w:i/>
                <w:iCs/>
                <w:color w:val="000000"/>
                <w:sz w:val="24"/>
                <w:szCs w:val="24"/>
              </w:rPr>
              <w:t xml:space="preserve">μ, </w:t>
            </w:r>
            <w:r w:rsidRPr="00F94EBB">
              <w:rPr>
                <w:b/>
                <w:color w:val="000000"/>
                <w:sz w:val="24"/>
                <w:szCs w:val="24"/>
              </w:rPr>
              <w:t>1/год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94EBB">
              <w:rPr>
                <w:b/>
                <w:sz w:val="24"/>
                <w:szCs w:val="24"/>
                <w:lang w:val="en-US"/>
              </w:rPr>
              <w:t>T</w:t>
            </w:r>
            <w:r w:rsidRPr="00F94EBB">
              <w:rPr>
                <w:b/>
                <w:sz w:val="24"/>
                <w:szCs w:val="24"/>
                <w:vertAlign w:val="subscript"/>
              </w:rPr>
              <w:t>п</w:t>
            </w:r>
            <w:r w:rsidRPr="00F94EBB">
              <w:rPr>
                <w:b/>
                <w:sz w:val="24"/>
                <w:szCs w:val="24"/>
              </w:rPr>
              <w:t>, ч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98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220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0.7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8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220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0.84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8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0.5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8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0.6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i/>
                <w:iCs/>
                <w:color w:val="000000"/>
                <w:sz w:val="24"/>
                <w:szCs w:val="24"/>
              </w:rPr>
              <w:t>8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211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0.4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8</w:t>
            </w:r>
          </w:p>
        </w:tc>
      </w:tr>
    </w:tbl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Та</w:t>
      </w:r>
      <w:r w:rsidRPr="00F94EBB">
        <w:rPr>
          <w:color w:val="000000"/>
          <w:sz w:val="24"/>
          <w:szCs w:val="24"/>
        </w:rPr>
        <w:t>б</w:t>
      </w:r>
      <w:r w:rsidRPr="00F94EBB">
        <w:rPr>
          <w:color w:val="000000"/>
          <w:sz w:val="24"/>
          <w:szCs w:val="24"/>
        </w:rPr>
        <w:t>лица 2-1</w:t>
      </w: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Default="00782BD2" w:rsidP="00782BD2">
      <w:pPr>
        <w:shd w:val="clear" w:color="auto" w:fill="FFFFFF"/>
        <w:autoSpaceDE w:val="0"/>
        <w:autoSpaceDN w:val="0"/>
        <w:adjustRightInd w:val="0"/>
        <w:ind w:firstLine="720"/>
        <w:rPr>
          <w:color w:val="000000"/>
          <w:sz w:val="24"/>
          <w:szCs w:val="24"/>
        </w:rPr>
      </w:pPr>
    </w:p>
    <w:p w:rsidR="00782BD2" w:rsidRDefault="00782BD2" w:rsidP="00782BD2">
      <w:pPr>
        <w:shd w:val="clear" w:color="auto" w:fill="FFFFFF"/>
        <w:autoSpaceDE w:val="0"/>
        <w:autoSpaceDN w:val="0"/>
        <w:adjustRightInd w:val="0"/>
        <w:ind w:firstLine="720"/>
        <w:rPr>
          <w:color w:val="000000"/>
          <w:sz w:val="24"/>
          <w:szCs w:val="24"/>
        </w:rPr>
      </w:pPr>
    </w:p>
    <w:p w:rsidR="00782BD2" w:rsidRDefault="00782BD2" w:rsidP="00782BD2">
      <w:pPr>
        <w:shd w:val="clear" w:color="auto" w:fill="FFFFFF"/>
        <w:autoSpaceDE w:val="0"/>
        <w:autoSpaceDN w:val="0"/>
        <w:adjustRightInd w:val="0"/>
        <w:ind w:firstLine="720"/>
        <w:rPr>
          <w:color w:val="000000"/>
          <w:sz w:val="24"/>
          <w:szCs w:val="24"/>
        </w:rPr>
      </w:pPr>
    </w:p>
    <w:p w:rsidR="00782BD2" w:rsidRDefault="00782BD2" w:rsidP="00782BD2">
      <w:pPr>
        <w:shd w:val="clear" w:color="auto" w:fill="FFFFFF"/>
        <w:autoSpaceDE w:val="0"/>
        <w:autoSpaceDN w:val="0"/>
        <w:adjustRightInd w:val="0"/>
        <w:ind w:firstLine="720"/>
        <w:rPr>
          <w:color w:val="000000"/>
          <w:sz w:val="24"/>
          <w:szCs w:val="24"/>
        </w:rPr>
      </w:pPr>
    </w:p>
    <w:p w:rsidR="00782BD2" w:rsidRDefault="00782BD2" w:rsidP="00782BD2">
      <w:pPr>
        <w:shd w:val="clear" w:color="auto" w:fill="FFFFFF"/>
        <w:autoSpaceDE w:val="0"/>
        <w:autoSpaceDN w:val="0"/>
        <w:adjustRightInd w:val="0"/>
        <w:ind w:firstLine="72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shd w:val="clear" w:color="auto" w:fill="FFFFFF"/>
        <w:autoSpaceDE w:val="0"/>
        <w:autoSpaceDN w:val="0"/>
        <w:adjustRightInd w:val="0"/>
        <w:ind w:firstLine="720"/>
        <w:rPr>
          <w:sz w:val="24"/>
          <w:szCs w:val="24"/>
        </w:rPr>
      </w:pPr>
      <w:r w:rsidRPr="00F94EBB">
        <w:rPr>
          <w:color w:val="000000"/>
          <w:sz w:val="24"/>
          <w:szCs w:val="24"/>
        </w:rPr>
        <w:t>1. Расчет показателей надежности блока /, эквивалентного па</w:t>
      </w:r>
      <w:r w:rsidRPr="00F94EBB">
        <w:rPr>
          <w:color w:val="000000"/>
          <w:sz w:val="24"/>
          <w:szCs w:val="24"/>
        </w:rPr>
        <w:softHyphen/>
        <w:t xml:space="preserve">раллельно включенным блокам </w:t>
      </w:r>
      <w:r w:rsidRPr="00F94EBB">
        <w:rPr>
          <w:i/>
          <w:iCs/>
          <w:color w:val="000000"/>
          <w:sz w:val="24"/>
          <w:szCs w:val="24"/>
        </w:rPr>
        <w:t xml:space="preserve">1 </w:t>
      </w:r>
      <w:r w:rsidRPr="00F94EBB">
        <w:rPr>
          <w:color w:val="000000"/>
          <w:sz w:val="24"/>
          <w:szCs w:val="24"/>
        </w:rPr>
        <w:t xml:space="preserve">и </w:t>
      </w:r>
      <w:r w:rsidRPr="00F94EBB">
        <w:rPr>
          <w:i/>
          <w:iCs/>
          <w:color w:val="000000"/>
          <w:sz w:val="24"/>
          <w:szCs w:val="24"/>
        </w:rPr>
        <w:t xml:space="preserve">2 </w:t>
      </w:r>
      <w:r w:rsidRPr="00F94EBB">
        <w:rPr>
          <w:color w:val="000000"/>
          <w:sz w:val="24"/>
          <w:szCs w:val="24"/>
        </w:rPr>
        <w:t xml:space="preserve">(рис. 2-6,а, </w:t>
      </w:r>
      <w:r w:rsidRPr="00F94EBB">
        <w:rPr>
          <w:i/>
          <w:iCs/>
          <w:color w:val="000000"/>
          <w:sz w:val="24"/>
          <w:szCs w:val="24"/>
        </w:rPr>
        <w:t>б).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Коэффициенты вынужденного и планового простоев блоков 1 и 2</w:t>
      </w:r>
      <w:r w:rsidRPr="00F94EBB">
        <w:rPr>
          <w:i/>
          <w:iCs/>
          <w:color w:val="000000"/>
          <w:sz w:val="24"/>
          <w:szCs w:val="24"/>
        </w:rPr>
        <w:t xml:space="preserve"> </w:t>
      </w:r>
      <w:r w:rsidRPr="00F94EBB">
        <w:rPr>
          <w:color w:val="000000"/>
          <w:sz w:val="24"/>
          <w:szCs w:val="24"/>
        </w:rPr>
        <w:t>в соответствии с (1-6)' и (1-9):</w:t>
      </w:r>
    </w:p>
    <w:p w:rsidR="00782BD2" w:rsidRPr="00F94EBB" w:rsidRDefault="00782BD2" w:rsidP="00782BD2">
      <w:pPr>
        <w:ind w:firstLine="900"/>
        <w:jc w:val="center"/>
        <w:rPr>
          <w:color w:val="000000"/>
          <w:sz w:val="24"/>
          <w:szCs w:val="24"/>
          <w:lang w:val="en-US"/>
        </w:rPr>
      </w:pPr>
      <w:r w:rsidRPr="00F94EBB">
        <w:rPr>
          <w:color w:val="000000"/>
          <w:position w:val="-24"/>
          <w:sz w:val="24"/>
          <w:szCs w:val="24"/>
        </w:rPr>
        <w:object w:dxaOrig="3200" w:dyaOrig="620">
          <v:shape id="_x0000_i1035" type="#_x0000_t75" style="width:159.75pt;height:30.75pt" o:ole="">
            <v:imagedata r:id="rId25" o:title=""/>
          </v:shape>
          <o:OLEObject Type="Embed" ProgID="Equation.3" ShapeID="_x0000_i1035" DrawAspect="Content" ObjectID="_1577015162" r:id="rId26"/>
        </w:object>
      </w:r>
    </w:p>
    <w:p w:rsidR="00782BD2" w:rsidRPr="00F94EBB" w:rsidRDefault="00782BD2" w:rsidP="00782BD2">
      <w:pPr>
        <w:ind w:firstLine="900"/>
        <w:jc w:val="center"/>
        <w:rPr>
          <w:color w:val="000000"/>
          <w:sz w:val="24"/>
          <w:szCs w:val="24"/>
          <w:lang w:val="en-US"/>
        </w:rPr>
      </w:pPr>
      <w:r w:rsidRPr="00F94EBB">
        <w:rPr>
          <w:color w:val="000000"/>
          <w:position w:val="-24"/>
          <w:sz w:val="24"/>
          <w:szCs w:val="24"/>
        </w:rPr>
        <w:object w:dxaOrig="3420" w:dyaOrig="620">
          <v:shape id="_x0000_i1036" type="#_x0000_t75" style="width:171pt;height:30.75pt" o:ole="">
            <v:imagedata r:id="rId27" o:title=""/>
          </v:shape>
          <o:OLEObject Type="Embed" ProgID="Equation.3" ShapeID="_x0000_i1036" DrawAspect="Content" ObjectID="_1577015163" r:id="rId28"/>
        </w:object>
      </w:r>
    </w:p>
    <w:p w:rsidR="00782BD2" w:rsidRPr="00F94EBB" w:rsidRDefault="00782BD2" w:rsidP="00782BD2">
      <w:pPr>
        <w:ind w:firstLine="900"/>
        <w:jc w:val="center"/>
        <w:rPr>
          <w:color w:val="000000"/>
          <w:sz w:val="24"/>
          <w:szCs w:val="24"/>
          <w:lang w:val="en-US"/>
        </w:rPr>
      </w:pPr>
      <w:r w:rsidRPr="00F94EBB">
        <w:rPr>
          <w:color w:val="000000"/>
          <w:position w:val="-24"/>
          <w:sz w:val="24"/>
          <w:szCs w:val="24"/>
        </w:rPr>
        <w:object w:dxaOrig="3780" w:dyaOrig="620">
          <v:shape id="_x0000_i1037" type="#_x0000_t75" style="width:189pt;height:30.75pt" o:ole="">
            <v:imagedata r:id="rId29" o:title=""/>
          </v:shape>
          <o:OLEObject Type="Embed" ProgID="Equation.3" ShapeID="_x0000_i1037" DrawAspect="Content" ObjectID="_1577015164" r:id="rId30"/>
        </w:object>
      </w:r>
    </w:p>
    <w:p w:rsidR="00782BD2" w:rsidRPr="00F94EBB" w:rsidRDefault="00782BD2" w:rsidP="00782BD2">
      <w:pPr>
        <w:ind w:firstLine="900"/>
        <w:jc w:val="center"/>
        <w:rPr>
          <w:color w:val="000000"/>
          <w:sz w:val="24"/>
          <w:szCs w:val="24"/>
          <w:lang w:val="en-US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 xml:space="preserve">Параметр потока отказов блока </w:t>
      </w:r>
      <w:r w:rsidRPr="00F94EBB">
        <w:rPr>
          <w:color w:val="000000"/>
          <w:sz w:val="24"/>
          <w:szCs w:val="24"/>
          <w:lang w:val="en-US"/>
        </w:rPr>
        <w:t>I</w:t>
      </w:r>
      <w:r w:rsidRPr="00F94EBB">
        <w:rPr>
          <w:color w:val="000000"/>
          <w:sz w:val="24"/>
          <w:szCs w:val="24"/>
        </w:rPr>
        <w:t xml:space="preserve"> в соответствии с (2-22)</w:t>
      </w:r>
    </w:p>
    <w:p w:rsidR="00782BD2" w:rsidRPr="00F94EBB" w:rsidRDefault="00782BD2" w:rsidP="00782BD2">
      <w:pPr>
        <w:ind w:firstLine="900"/>
        <w:jc w:val="center"/>
        <w:rPr>
          <w:sz w:val="24"/>
          <w:szCs w:val="24"/>
        </w:rPr>
      </w:pPr>
      <w:r w:rsidRPr="00F94EBB">
        <w:rPr>
          <w:position w:val="-46"/>
          <w:sz w:val="24"/>
          <w:szCs w:val="24"/>
          <w:lang w:val="en-US"/>
        </w:rPr>
        <w:object w:dxaOrig="7160" w:dyaOrig="1060">
          <v:shape id="_x0000_i1038" type="#_x0000_t75" style="width:357.75pt;height:53.25pt" o:ole="">
            <v:imagedata r:id="rId31" o:title=""/>
          </v:shape>
          <o:OLEObject Type="Embed" ProgID="Equation.3" ShapeID="_x0000_i1038" DrawAspect="Content" ObjectID="_1577015165" r:id="rId32"/>
        </w:object>
      </w:r>
    </w:p>
    <w:p w:rsidR="00782BD2" w:rsidRPr="00F94EBB" w:rsidRDefault="00782BD2" w:rsidP="00782BD2">
      <w:pPr>
        <w:ind w:firstLine="900"/>
        <w:rPr>
          <w:sz w:val="24"/>
          <w:szCs w:val="24"/>
        </w:rPr>
      </w:pPr>
      <w:r w:rsidRPr="00F94EBB">
        <w:rPr>
          <w:sz w:val="24"/>
          <w:szCs w:val="24"/>
        </w:rPr>
        <w:t>Длительность одновременного вынужденного простоя при наложении отказа на плановый ремонт в соответствии с формулой (2-13)</w:t>
      </w:r>
    </w:p>
    <w:p w:rsidR="00782BD2" w:rsidRPr="00F94EBB" w:rsidRDefault="00782BD2" w:rsidP="00782BD2">
      <w:pPr>
        <w:ind w:firstLine="900"/>
        <w:jc w:val="center"/>
        <w:rPr>
          <w:sz w:val="24"/>
          <w:szCs w:val="24"/>
        </w:rPr>
      </w:pPr>
      <w:r w:rsidRPr="00F94EBB">
        <w:rPr>
          <w:position w:val="-14"/>
          <w:sz w:val="24"/>
          <w:szCs w:val="24"/>
        </w:rPr>
        <w:object w:dxaOrig="3580" w:dyaOrig="380">
          <v:shape id="_x0000_i1039" type="#_x0000_t75" style="width:179.25pt;height:18.75pt" o:ole="">
            <v:imagedata r:id="rId33" o:title=""/>
          </v:shape>
          <o:OLEObject Type="Embed" ProgID="Equation.3" ShapeID="_x0000_i1039" DrawAspect="Content" ObjectID="_1577015166" r:id="rId34"/>
        </w:object>
      </w:r>
    </w:p>
    <w:p w:rsidR="00782BD2" w:rsidRPr="00F94EBB" w:rsidRDefault="00782BD2" w:rsidP="00782BD2">
      <w:pPr>
        <w:ind w:firstLine="900"/>
        <w:jc w:val="center"/>
        <w:rPr>
          <w:sz w:val="24"/>
          <w:szCs w:val="24"/>
        </w:rPr>
      </w:pPr>
      <w:r w:rsidRPr="00F94EBB">
        <w:rPr>
          <w:sz w:val="24"/>
          <w:szCs w:val="24"/>
        </w:rPr>
        <w:t xml:space="preserve">Среднее время восстановления блока </w:t>
      </w:r>
      <w:r w:rsidRPr="00F94EBB">
        <w:rPr>
          <w:sz w:val="24"/>
          <w:szCs w:val="24"/>
          <w:lang w:val="en-US"/>
        </w:rPr>
        <w:t>I</w:t>
      </w:r>
      <w:r w:rsidRPr="00F94EBB">
        <w:rPr>
          <w:sz w:val="24"/>
          <w:szCs w:val="24"/>
        </w:rPr>
        <w:t xml:space="preserve"> в соответствии с (2-23)</w:t>
      </w:r>
    </w:p>
    <w:p w:rsidR="00782BD2" w:rsidRPr="00F94EBB" w:rsidRDefault="00782BD2" w:rsidP="00782BD2">
      <w:pPr>
        <w:jc w:val="both"/>
        <w:rPr>
          <w:sz w:val="24"/>
          <w:szCs w:val="24"/>
        </w:rPr>
      </w:pPr>
      <w:r w:rsidRPr="00F94EBB">
        <w:rPr>
          <w:position w:val="-64"/>
          <w:sz w:val="24"/>
          <w:szCs w:val="24"/>
          <w:lang w:val="en-US"/>
        </w:rPr>
        <w:object w:dxaOrig="10100" w:dyaOrig="1400">
          <v:shape id="_x0000_i1040" type="#_x0000_t75" style="width:468pt;height:65.25pt" o:ole="">
            <v:imagedata r:id="rId35" o:title=""/>
          </v:shape>
          <o:OLEObject Type="Embed" ProgID="Equation.3" ShapeID="_x0000_i1040" DrawAspect="Content" ObjectID="_1577015167" r:id="rId36"/>
        </w:object>
      </w:r>
    </w:p>
    <w:p w:rsidR="00782BD2" w:rsidRPr="00F94EBB" w:rsidRDefault="00782BD2" w:rsidP="00782BD2">
      <w:pPr>
        <w:ind w:firstLine="900"/>
        <w:jc w:val="center"/>
        <w:rPr>
          <w:sz w:val="24"/>
          <w:szCs w:val="24"/>
        </w:rPr>
      </w:pPr>
    </w:p>
    <w:p w:rsidR="00782BD2" w:rsidRPr="00F94EBB" w:rsidRDefault="00782BD2" w:rsidP="00782BD2">
      <w:pPr>
        <w:ind w:firstLine="900"/>
        <w:rPr>
          <w:sz w:val="24"/>
          <w:szCs w:val="24"/>
        </w:rPr>
      </w:pPr>
      <w:r w:rsidRPr="00F94EBB">
        <w:rPr>
          <w:sz w:val="24"/>
          <w:szCs w:val="24"/>
        </w:rPr>
        <w:t xml:space="preserve">2. Расчёт показателей надёжности  плановых простоев блока </w:t>
      </w:r>
      <w:r w:rsidRPr="00F94EBB">
        <w:rPr>
          <w:sz w:val="24"/>
          <w:szCs w:val="24"/>
          <w:lang w:val="en-US"/>
        </w:rPr>
        <w:t>II</w:t>
      </w:r>
      <w:r w:rsidRPr="00F94EBB">
        <w:rPr>
          <w:sz w:val="24"/>
          <w:szCs w:val="24"/>
        </w:rPr>
        <w:t>, эквивалентного п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 xml:space="preserve">следовательно соединённым блокам 4 и 5. </w:t>
      </w:r>
    </w:p>
    <w:p w:rsidR="00782BD2" w:rsidRPr="00F94EBB" w:rsidRDefault="00782BD2" w:rsidP="00782BD2">
      <w:pPr>
        <w:ind w:firstLine="900"/>
        <w:rPr>
          <w:sz w:val="24"/>
          <w:szCs w:val="24"/>
        </w:rPr>
      </w:pPr>
      <w:r w:rsidRPr="00F94EBB">
        <w:rPr>
          <w:sz w:val="24"/>
          <w:szCs w:val="24"/>
        </w:rPr>
        <w:t xml:space="preserve">Параметр потока отказов и среднее время восстановления блока </w:t>
      </w:r>
      <w:r w:rsidRPr="00F94EBB">
        <w:rPr>
          <w:sz w:val="24"/>
          <w:szCs w:val="24"/>
          <w:lang w:val="en-US"/>
        </w:rPr>
        <w:t>II</w:t>
      </w:r>
      <w:r w:rsidRPr="00F94EBB">
        <w:rPr>
          <w:sz w:val="24"/>
          <w:szCs w:val="24"/>
        </w:rPr>
        <w:t>, в соответс</w:t>
      </w:r>
      <w:r w:rsidRPr="00F94EBB">
        <w:rPr>
          <w:sz w:val="24"/>
          <w:szCs w:val="24"/>
        </w:rPr>
        <w:t>т</w:t>
      </w:r>
      <w:r w:rsidRPr="00F94EBB">
        <w:rPr>
          <w:sz w:val="24"/>
          <w:szCs w:val="24"/>
        </w:rPr>
        <w:t>вии с (2-18) и (2-19)</w:t>
      </w:r>
    </w:p>
    <w:p w:rsidR="00782BD2" w:rsidRPr="00F94EBB" w:rsidRDefault="00782BD2" w:rsidP="00782BD2">
      <w:pPr>
        <w:ind w:firstLine="900"/>
        <w:jc w:val="center"/>
        <w:rPr>
          <w:sz w:val="24"/>
          <w:szCs w:val="24"/>
        </w:rPr>
      </w:pPr>
      <w:r w:rsidRPr="00F94EBB">
        <w:rPr>
          <w:position w:val="-18"/>
          <w:sz w:val="24"/>
          <w:szCs w:val="24"/>
        </w:rPr>
        <w:object w:dxaOrig="3500" w:dyaOrig="480">
          <v:shape id="_x0000_i1041" type="#_x0000_t75" style="width:174.75pt;height:24pt" o:ole="">
            <v:imagedata r:id="rId37" o:title=""/>
          </v:shape>
          <o:OLEObject Type="Embed" ProgID="Equation.3" ShapeID="_x0000_i1041" DrawAspect="Content" ObjectID="_1577015168" r:id="rId38"/>
        </w:object>
      </w:r>
    </w:p>
    <w:p w:rsidR="00782BD2" w:rsidRPr="00F94EBB" w:rsidRDefault="00782BD2" w:rsidP="00782BD2">
      <w:pPr>
        <w:jc w:val="center"/>
        <w:rPr>
          <w:sz w:val="24"/>
          <w:szCs w:val="24"/>
        </w:rPr>
      </w:pPr>
      <w:r w:rsidRPr="00F94EBB">
        <w:rPr>
          <w:position w:val="-30"/>
          <w:sz w:val="24"/>
          <w:szCs w:val="24"/>
        </w:rPr>
        <w:object w:dxaOrig="5420" w:dyaOrig="680">
          <v:shape id="_x0000_i1042" type="#_x0000_t75" style="width:270.75pt;height:33.75pt" o:ole="">
            <v:imagedata r:id="rId39" o:title=""/>
          </v:shape>
          <o:OLEObject Type="Embed" ProgID="Equation.3" ShapeID="_x0000_i1042" DrawAspect="Content" ObjectID="_1577015169" r:id="rId40"/>
        </w:object>
      </w:r>
    </w:p>
    <w:p w:rsidR="00782BD2" w:rsidRPr="00F94EBB" w:rsidRDefault="00782BD2" w:rsidP="00782BD2">
      <w:pPr>
        <w:ind w:firstLine="900"/>
        <w:rPr>
          <w:sz w:val="24"/>
          <w:szCs w:val="24"/>
        </w:rPr>
      </w:pPr>
      <w:r w:rsidRPr="00F94EBB">
        <w:rPr>
          <w:sz w:val="24"/>
          <w:szCs w:val="24"/>
        </w:rPr>
        <w:t>Частота и средняя продолжительность плановых простоев бл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 xml:space="preserve">ка </w:t>
      </w:r>
      <w:r w:rsidRPr="00F94EBB">
        <w:rPr>
          <w:sz w:val="24"/>
          <w:szCs w:val="24"/>
          <w:lang w:val="en-US"/>
        </w:rPr>
        <w:t>II</w:t>
      </w:r>
      <w:r w:rsidRPr="00F94EBB">
        <w:rPr>
          <w:sz w:val="24"/>
          <w:szCs w:val="24"/>
        </w:rPr>
        <w:t xml:space="preserve"> в соответствии с (2-20) и (2-21)</w:t>
      </w:r>
    </w:p>
    <w:p w:rsidR="00782BD2" w:rsidRPr="00F94EBB" w:rsidRDefault="00782BD2" w:rsidP="00782BD2">
      <w:pPr>
        <w:jc w:val="center"/>
        <w:rPr>
          <w:sz w:val="24"/>
          <w:szCs w:val="24"/>
        </w:rPr>
      </w:pPr>
      <w:r w:rsidRPr="00F94EBB">
        <w:rPr>
          <w:position w:val="-18"/>
          <w:sz w:val="24"/>
          <w:szCs w:val="24"/>
        </w:rPr>
        <w:object w:dxaOrig="3040" w:dyaOrig="480">
          <v:shape id="_x0000_i1043" type="#_x0000_t75" style="width:152.25pt;height:24pt" o:ole="">
            <v:imagedata r:id="rId41" o:title=""/>
          </v:shape>
          <o:OLEObject Type="Embed" ProgID="Equation.3" ShapeID="_x0000_i1043" DrawAspect="Content" ObjectID="_1577015170" r:id="rId42"/>
        </w:object>
      </w:r>
    </w:p>
    <w:p w:rsidR="00782BD2" w:rsidRPr="00F94EBB" w:rsidRDefault="00782BD2" w:rsidP="00782BD2">
      <w:pPr>
        <w:jc w:val="center"/>
        <w:rPr>
          <w:sz w:val="24"/>
          <w:szCs w:val="24"/>
        </w:rPr>
      </w:pPr>
      <w:r w:rsidRPr="00F94EBB">
        <w:rPr>
          <w:position w:val="-30"/>
          <w:sz w:val="24"/>
          <w:szCs w:val="24"/>
        </w:rPr>
        <w:object w:dxaOrig="4680" w:dyaOrig="680">
          <v:shape id="_x0000_i1044" type="#_x0000_t75" style="width:234pt;height:33.75pt" o:ole="">
            <v:imagedata r:id="rId43" o:title=""/>
          </v:shape>
          <o:OLEObject Type="Embed" ProgID="Equation.3" ShapeID="_x0000_i1044" DrawAspect="Content" ObjectID="_1577015171" r:id="rId44"/>
        </w:objec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 xml:space="preserve">Показатели надёжности блоков </w:t>
      </w:r>
      <w:r w:rsidRPr="00F94EBB">
        <w:rPr>
          <w:color w:val="000000"/>
          <w:sz w:val="24"/>
          <w:szCs w:val="24"/>
          <w:lang w:val="en-US"/>
        </w:rPr>
        <w:t>III</w:t>
      </w:r>
      <w:r w:rsidRPr="00F94EBB">
        <w:rPr>
          <w:color w:val="000000"/>
          <w:sz w:val="24"/>
          <w:szCs w:val="24"/>
        </w:rPr>
        <w:t xml:space="preserve"> и </w:t>
      </w:r>
      <w:r w:rsidRPr="00F94EBB">
        <w:rPr>
          <w:color w:val="000000"/>
          <w:sz w:val="24"/>
          <w:szCs w:val="24"/>
          <w:lang w:val="en-US"/>
        </w:rPr>
        <w:t>IV</w:t>
      </w:r>
      <w:r w:rsidRPr="00F94EBB">
        <w:rPr>
          <w:color w:val="000000"/>
          <w:sz w:val="24"/>
          <w:szCs w:val="24"/>
        </w:rPr>
        <w:t xml:space="preserve"> рассчитываются аналогично. Результаты расчёта сведены в таблицу 2-2</w:t>
      </w:r>
    </w:p>
    <w:tbl>
      <w:tblPr>
        <w:tblpPr w:leftFromText="180" w:rightFromText="180" w:vertAnchor="text" w:horzAnchor="page" w:tblpX="3822" w:tblpY="497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9"/>
        <w:gridCol w:w="2170"/>
        <w:gridCol w:w="806"/>
        <w:gridCol w:w="1147"/>
        <w:gridCol w:w="778"/>
      </w:tblGrid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9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8462AE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462AE">
              <w:rPr>
                <w:b/>
                <w:color w:val="000000"/>
                <w:sz w:val="24"/>
                <w:szCs w:val="24"/>
              </w:rPr>
              <w:t>Блок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8462AE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462AE">
              <w:rPr>
                <w:b/>
                <w:color w:val="000000"/>
                <w:sz w:val="24"/>
                <w:szCs w:val="24"/>
              </w:rPr>
              <w:t>ω, 1/год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8462AE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462AE">
              <w:rPr>
                <w:b/>
                <w:sz w:val="24"/>
                <w:szCs w:val="24"/>
                <w:lang w:val="en-US"/>
              </w:rPr>
              <w:t>T</w:t>
            </w:r>
            <w:r w:rsidRPr="008462AE">
              <w:rPr>
                <w:b/>
                <w:sz w:val="24"/>
                <w:szCs w:val="24"/>
                <w:vertAlign w:val="subscript"/>
              </w:rPr>
              <w:t>В</w:t>
            </w:r>
            <w:r w:rsidRPr="008462AE">
              <w:rPr>
                <w:b/>
                <w:sz w:val="24"/>
                <w:szCs w:val="24"/>
              </w:rPr>
              <w:t>, ч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8462AE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462AE">
              <w:rPr>
                <w:b/>
                <w:i/>
                <w:iCs/>
                <w:color w:val="000000"/>
                <w:sz w:val="24"/>
                <w:szCs w:val="24"/>
              </w:rPr>
              <w:t xml:space="preserve">μ, </w:t>
            </w:r>
            <w:r w:rsidRPr="008462AE">
              <w:rPr>
                <w:b/>
                <w:color w:val="000000"/>
                <w:sz w:val="24"/>
                <w:szCs w:val="24"/>
              </w:rPr>
              <w:t>1/год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8462AE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462AE">
              <w:rPr>
                <w:b/>
                <w:sz w:val="24"/>
                <w:szCs w:val="24"/>
                <w:lang w:val="en-US"/>
              </w:rPr>
              <w:t>T</w:t>
            </w:r>
            <w:r w:rsidRPr="008462AE">
              <w:rPr>
                <w:b/>
                <w:sz w:val="24"/>
                <w:szCs w:val="24"/>
                <w:vertAlign w:val="subscript"/>
              </w:rPr>
              <w:t>п</w:t>
            </w:r>
            <w:r w:rsidRPr="008462AE">
              <w:rPr>
                <w:b/>
                <w:sz w:val="24"/>
                <w:szCs w:val="24"/>
              </w:rPr>
              <w:t>, ч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336"/>
        </w:trPr>
        <w:tc>
          <w:tcPr>
            <w:tcW w:w="98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0.006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5.3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1.0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8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0.506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F94EBB">
              <w:rPr>
                <w:color w:val="000000"/>
                <w:sz w:val="24"/>
                <w:szCs w:val="24"/>
              </w:rPr>
              <w:t>8</w:t>
            </w:r>
          </w:p>
        </w:tc>
      </w:tr>
      <w:tr w:rsidR="00782BD2" w:rsidRPr="00F94EBB" w:rsidTr="000A2B9F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0.006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4.6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82BD2" w:rsidRPr="00F94EBB" w:rsidRDefault="00782BD2" w:rsidP="000A2B9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en-US"/>
              </w:rPr>
            </w:pPr>
            <w:r w:rsidRPr="00F94EBB">
              <w:rPr>
                <w:i/>
                <w:iCs/>
                <w:color w:val="000000"/>
                <w:sz w:val="24"/>
                <w:szCs w:val="24"/>
                <w:lang w:val="en-US"/>
              </w:rPr>
              <w:t>0</w:t>
            </w:r>
          </w:p>
        </w:tc>
      </w:tr>
    </w:tbl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 xml:space="preserve"> Таблица 2-2</w:t>
      </w: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jc w:val="right"/>
        <w:rPr>
          <w:color w:val="000000"/>
          <w:sz w:val="24"/>
          <w:szCs w:val="24"/>
        </w:rPr>
      </w:pPr>
    </w:p>
    <w:p w:rsidR="00782BD2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Default="00782BD2" w:rsidP="00782BD2">
      <w:pPr>
        <w:ind w:firstLine="900"/>
        <w:rPr>
          <w:color w:val="000000"/>
          <w:sz w:val="24"/>
          <w:szCs w:val="24"/>
        </w:rPr>
      </w:pP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Из таблицы 2-2 можно видеть, что полные перерывы электроснабжения характер</w:t>
      </w:r>
      <w:r w:rsidRPr="00F94EBB">
        <w:rPr>
          <w:color w:val="000000"/>
          <w:sz w:val="24"/>
          <w:szCs w:val="24"/>
        </w:rPr>
        <w:t>и</w:t>
      </w:r>
      <w:r w:rsidRPr="00F94EBB">
        <w:rPr>
          <w:color w:val="000000"/>
          <w:sz w:val="24"/>
          <w:szCs w:val="24"/>
        </w:rPr>
        <w:t>зуются математическим ожиданием числа перерывов, равным 0.006 1/год, или равно пр</w:t>
      </w:r>
      <w:r w:rsidRPr="00F94EBB">
        <w:rPr>
          <w:color w:val="000000"/>
          <w:sz w:val="24"/>
          <w:szCs w:val="24"/>
        </w:rPr>
        <w:t>и</w:t>
      </w:r>
      <w:r w:rsidRPr="00F94EBB">
        <w:rPr>
          <w:color w:val="000000"/>
          <w:sz w:val="24"/>
          <w:szCs w:val="24"/>
        </w:rPr>
        <w:t>мерно 1 раз за 170 лет при средней длительности вынужденных простоев 4.6 ч. Плановые перерывы электроснабжения отсутс</w:t>
      </w:r>
      <w:r w:rsidRPr="00F94EBB">
        <w:rPr>
          <w:color w:val="000000"/>
          <w:sz w:val="24"/>
          <w:szCs w:val="24"/>
        </w:rPr>
        <w:t>т</w:t>
      </w:r>
      <w:r w:rsidRPr="00F94EBB">
        <w:rPr>
          <w:color w:val="000000"/>
          <w:sz w:val="24"/>
          <w:szCs w:val="24"/>
        </w:rPr>
        <w:t>вуют.</w:t>
      </w:r>
    </w:p>
    <w:p w:rsidR="00782BD2" w:rsidRPr="00F94EBB" w:rsidRDefault="00782BD2" w:rsidP="00782BD2">
      <w:pPr>
        <w:ind w:firstLine="900"/>
        <w:rPr>
          <w:color w:val="000000"/>
          <w:sz w:val="24"/>
          <w:szCs w:val="24"/>
        </w:rPr>
      </w:pPr>
      <w:r w:rsidRPr="00F94EBB">
        <w:rPr>
          <w:color w:val="000000"/>
          <w:sz w:val="24"/>
          <w:szCs w:val="24"/>
        </w:rPr>
        <w:t>При недостаточных пропускной способности линий Л</w:t>
      </w:r>
      <w:proofErr w:type="gramStart"/>
      <w:r w:rsidRPr="00F94EBB">
        <w:rPr>
          <w:color w:val="000000"/>
          <w:sz w:val="24"/>
          <w:szCs w:val="24"/>
        </w:rPr>
        <w:t>4</w:t>
      </w:r>
      <w:proofErr w:type="gramEnd"/>
      <w:r w:rsidRPr="00F94EBB">
        <w:rPr>
          <w:color w:val="000000"/>
          <w:sz w:val="24"/>
          <w:szCs w:val="24"/>
        </w:rPr>
        <w:t xml:space="preserve"> и Л5 или мощности источника питания ИП3 ограничения потребителя б</w:t>
      </w:r>
      <w:r w:rsidRPr="00F94EBB">
        <w:rPr>
          <w:color w:val="000000"/>
          <w:sz w:val="24"/>
          <w:szCs w:val="24"/>
        </w:rPr>
        <w:t>у</w:t>
      </w:r>
      <w:r w:rsidRPr="00F94EBB">
        <w:rPr>
          <w:color w:val="000000"/>
          <w:sz w:val="24"/>
          <w:szCs w:val="24"/>
        </w:rPr>
        <w:t xml:space="preserve">дут при вынужденных и плановых простоях блока </w:t>
      </w:r>
      <w:r w:rsidRPr="00F94EBB">
        <w:rPr>
          <w:color w:val="000000"/>
          <w:sz w:val="24"/>
          <w:szCs w:val="24"/>
          <w:lang w:val="en-US"/>
        </w:rPr>
        <w:t>III</w:t>
      </w:r>
      <w:r w:rsidRPr="00F94EBB">
        <w:rPr>
          <w:color w:val="000000"/>
          <w:sz w:val="24"/>
          <w:szCs w:val="24"/>
        </w:rPr>
        <w:t>: математич</w:t>
      </w:r>
      <w:r w:rsidRPr="00F94EBB">
        <w:rPr>
          <w:color w:val="000000"/>
          <w:sz w:val="24"/>
          <w:szCs w:val="24"/>
        </w:rPr>
        <w:t>е</w:t>
      </w:r>
      <w:r w:rsidRPr="00F94EBB">
        <w:rPr>
          <w:color w:val="000000"/>
          <w:sz w:val="24"/>
          <w:szCs w:val="24"/>
        </w:rPr>
        <w:t>ское ожидание вынужденных ограничений равно 0.506 или 1 раз за 2 года при средней длительности 14 часов; плановые ограничения 5 раз в год при длительн</w:t>
      </w:r>
      <w:r w:rsidRPr="00F94EBB">
        <w:rPr>
          <w:color w:val="000000"/>
          <w:sz w:val="24"/>
          <w:szCs w:val="24"/>
        </w:rPr>
        <w:t>о</w:t>
      </w:r>
      <w:r w:rsidRPr="00F94EBB">
        <w:rPr>
          <w:color w:val="000000"/>
          <w:sz w:val="24"/>
          <w:szCs w:val="24"/>
        </w:rPr>
        <w:t>сти 8 часов.</w:t>
      </w:r>
    </w:p>
    <w:p w:rsidR="00782BD2" w:rsidRPr="00F94EBB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Pr="00F94EBB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Pr="00F94EBB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782BD2" w:rsidRPr="00F94EBB" w:rsidRDefault="00782BD2" w:rsidP="00782BD2">
      <w:pPr>
        <w:ind w:firstLine="720"/>
        <w:jc w:val="both"/>
        <w:rPr>
          <w:b/>
          <w:sz w:val="24"/>
          <w:szCs w:val="24"/>
        </w:rPr>
      </w:pPr>
    </w:p>
    <w:p w:rsidR="00246E77" w:rsidRDefault="00782BD2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BD2"/>
    <w:rsid w:val="001A14EE"/>
    <w:rsid w:val="003663B7"/>
    <w:rsid w:val="00564880"/>
    <w:rsid w:val="00704445"/>
    <w:rsid w:val="00782BD2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B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B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oleObject" Target="embeddings/oleObject7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image" Target="media/image2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2018-01-09T08:58:00Z</dcterms:created>
  <dcterms:modified xsi:type="dcterms:W3CDTF">2018-01-09T08:59:00Z</dcterms:modified>
</cp:coreProperties>
</file>